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3" w:before="0" w:after="0"/>
        <w:rPr>
          <w:color w:val="auto"/>
          <w:sz w:val="24"/>
          <w:szCs w:val="24"/>
        </w:rPr>
      </w:pPr>
      <w:r>
        <w:rPr>
          <w:color w:val="auto"/>
          <w:sz w:val="24"/>
          <w:szCs w:val="24"/>
        </w:rPr>
      </w:r>
      <w:bookmarkStart w:id="0" w:name="page1"/>
      <w:bookmarkStart w:id="1" w:name="page1"/>
      <w:bookmarkEnd w:id="1"/>
    </w:p>
    <w:p>
      <w:pPr>
        <w:pStyle w:val="Normal"/>
        <w:spacing w:lineRule="auto" w:line="232" w:before="0" w:after="0"/>
        <w:ind w:right="380" w:hanging="0"/>
        <w:rPr>
          <w:color w:val="auto"/>
          <w:sz w:val="20"/>
          <w:szCs w:val="20"/>
        </w:rPr>
      </w:pPr>
      <w:r>
        <w:rPr>
          <w:rFonts w:eastAsia="Calibri" w:cs="Calibri" w:ascii="Calibri" w:hAnsi="Calibri"/>
          <w:b/>
          <w:bCs/>
          <w:color w:val="auto"/>
          <w:sz w:val="35"/>
          <w:szCs w:val="35"/>
        </w:rPr>
        <w:t>Bond-boson mean-field theory of a two-dimensional hollandite lattice</w:t>
      </w:r>
    </w:p>
    <w:p>
      <w:pPr>
        <w:pStyle w:val="Normal"/>
        <w:spacing w:lineRule="exact" w:line="142" w:before="0" w:after="0"/>
        <w:rPr>
          <w:color w:val="auto"/>
          <w:sz w:val="24"/>
          <w:szCs w:val="24"/>
        </w:rPr>
      </w:pPr>
      <w:r>
        <w:rPr>
          <w:color w:val="auto"/>
          <w:sz w:val="24"/>
          <w:szCs w:val="24"/>
        </w:rPr>
      </w:r>
    </w:p>
    <w:p>
      <w:pPr>
        <w:pStyle w:val="Normal"/>
        <w:spacing w:before="0" w:after="0"/>
        <w:rPr>
          <w:color w:val="auto"/>
          <w:sz w:val="20"/>
          <w:szCs w:val="20"/>
        </w:rPr>
      </w:pPr>
      <w:r>
        <w:rPr>
          <w:rFonts w:eastAsia="Calibri" w:cs="Calibri" w:ascii="Calibri" w:hAnsi="Calibri"/>
          <w:b/>
          <w:bCs/>
          <w:color w:val="auto"/>
          <w:sz w:val="23"/>
          <w:szCs w:val="23"/>
        </w:rPr>
        <w:t>Manas Ranjan Mahapatra and Rakesh Kumar*</w:t>
      </w:r>
    </w:p>
    <w:p>
      <w:pPr>
        <w:pStyle w:val="Normal"/>
        <w:spacing w:lineRule="exact" w:line="155" w:before="0" w:after="0"/>
        <w:rPr>
          <w:color w:val="auto"/>
          <w:sz w:val="24"/>
          <w:szCs w:val="24"/>
        </w:rPr>
      </w:pPr>
      <w:r>
        <w:rPr>
          <w:color w:val="auto"/>
          <w:sz w:val="24"/>
          <w:szCs w:val="24"/>
        </w:rPr>
      </w:r>
    </w:p>
    <w:p>
      <w:pPr>
        <w:pStyle w:val="Normal"/>
        <w:spacing w:before="0" w:after="0"/>
        <w:rPr>
          <w:color w:val="auto"/>
          <w:sz w:val="20"/>
          <w:szCs w:val="20"/>
        </w:rPr>
      </w:pPr>
      <w:r>
        <w:rPr>
          <w:rFonts w:eastAsia="Calibri" w:cs="Calibri" w:ascii="Calibri" w:hAnsi="Calibri"/>
          <w:color w:val="auto"/>
          <w:sz w:val="23"/>
          <w:szCs w:val="23"/>
        </w:rPr>
        <w:t>School of physical sciences, Central university of Rajasthan, Ajmer 305817, India</w:t>
      </w: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Normal"/>
        <w:spacing w:lineRule="exact" w:line="280" w:before="0" w:after="0"/>
        <w:rPr>
          <w:color w:val="auto"/>
          <w:sz w:val="24"/>
          <w:szCs w:val="24"/>
        </w:rPr>
      </w:pPr>
      <w:r>
        <w:rPr>
          <w:color w:val="auto"/>
          <w:sz w:val="24"/>
          <w:szCs w:val="24"/>
        </w:rPr>
      </w:r>
    </w:p>
    <w:p>
      <w:pPr>
        <w:pStyle w:val="Normal"/>
        <w:spacing w:before="0" w:after="0"/>
        <w:rPr>
          <w:color w:val="auto"/>
          <w:sz w:val="20"/>
          <w:szCs w:val="20"/>
        </w:rPr>
      </w:pPr>
      <w:r>
        <w:rPr>
          <w:rFonts w:eastAsia="Calibri" w:cs="Calibri" w:ascii="Calibri" w:hAnsi="Calibri"/>
          <w:color w:val="auto"/>
          <w:sz w:val="23"/>
          <w:szCs w:val="23"/>
        </w:rPr>
        <w:t>E-mail:</w:t>
      </w:r>
      <w:r>
        <w:rPr>
          <w:rFonts w:eastAsia="Calibri" w:cs="Calibri" w:ascii="Calibri" w:hAnsi="Calibri"/>
          <w:color w:val="0563C1"/>
          <w:sz w:val="23"/>
          <w:szCs w:val="23"/>
        </w:rPr>
        <w:t xml:space="preserve"> </w:t>
      </w:r>
      <w:r>
        <w:rPr>
          <w:rFonts w:eastAsia="Calibri" w:cs="Calibri" w:ascii="Calibri" w:hAnsi="Calibri"/>
          <w:color w:val="0563C1"/>
          <w:sz w:val="23"/>
          <w:szCs w:val="23"/>
          <w:u w:val="single" w:color="FFFFFF"/>
        </w:rPr>
        <w:t>rkumar@curaj.ac.in</w:t>
      </w:r>
    </w:p>
    <w:p>
      <w:pPr>
        <w:pStyle w:val="Normal"/>
        <w:spacing w:lineRule="exact" w:line="200" w:before="0" w:after="0"/>
        <w:rPr>
          <w:color w:val="auto"/>
          <w:sz w:val="24"/>
          <w:szCs w:val="24"/>
        </w:rPr>
      </w:pPr>
      <w:r>
        <w:rPr>
          <w:color w:val="auto"/>
          <w:sz w:val="24"/>
          <w:szCs w:val="24"/>
        </w:rPr>
      </w:r>
    </w:p>
    <w:p>
      <w:pPr>
        <w:pStyle w:val="Normal"/>
        <w:spacing w:lineRule="exact" w:line="396" w:before="0" w:after="0"/>
        <w:rPr>
          <w:color w:val="auto"/>
          <w:sz w:val="24"/>
          <w:szCs w:val="24"/>
        </w:rPr>
      </w:pPr>
      <w:r>
        <w:rPr>
          <w:color w:val="auto"/>
          <w:sz w:val="24"/>
          <w:szCs w:val="24"/>
        </w:rPr>
      </w:r>
    </w:p>
    <w:p>
      <w:pPr>
        <w:pStyle w:val="Normal"/>
        <w:spacing w:lineRule="auto" w:line="218" w:before="0" w:after="0"/>
        <w:ind w:right="120" w:hanging="0"/>
        <w:rPr>
          <w:color w:val="auto"/>
          <w:sz w:val="20"/>
          <w:szCs w:val="20"/>
        </w:rPr>
      </w:pPr>
      <w:r>
        <w:rPr>
          <w:rFonts w:eastAsia="Calibri" w:cs="Calibri" w:ascii="Calibri" w:hAnsi="Calibri"/>
          <w:b/>
          <w:bCs/>
          <w:color w:val="auto"/>
          <w:sz w:val="20"/>
          <w:szCs w:val="20"/>
        </w:rPr>
        <w:t>Abstract</w:t>
      </w:r>
      <w:r>
        <w:rPr>
          <w:rFonts w:eastAsia="Calibri" w:cs="Calibri" w:ascii="Calibri" w:hAnsi="Calibri"/>
          <w:color w:val="auto"/>
          <w:sz w:val="20"/>
          <w:szCs w:val="20"/>
        </w:rPr>
        <w:t>. Motivated by the pioneer work of Majumdar and Ghosh</w:t>
      </w:r>
      <w:r>
        <w:rPr>
          <w:rFonts w:eastAsia="Calibri" w:cs="Calibri" w:ascii="Calibri" w:hAnsi="Calibri"/>
          <w:color w:val="auto"/>
          <w:sz w:val="27"/>
          <w:szCs w:val="27"/>
          <w:vertAlign w:val="superscript"/>
        </w:rPr>
        <w:t>[1]</w:t>
      </w:r>
      <w:r>
        <w:rPr>
          <w:rFonts w:eastAsia="Calibri" w:cs="Calibri" w:ascii="Calibri" w:hAnsi="Calibri"/>
          <w:color w:val="auto"/>
          <w:sz w:val="20"/>
          <w:szCs w:val="20"/>
        </w:rPr>
        <w:t>, we constructed and analyzed an exactly solvable model on a two-dimensional hollandite lattice. The three-dimensional hollandite lattice is experimentally realized in the natural minerals of type α-MnO</w:t>
      </w:r>
      <w:r>
        <w:rPr>
          <w:rFonts w:eastAsia="Calibri" w:cs="Calibri" w:ascii="Calibri" w:hAnsi="Calibri"/>
          <w:color w:val="auto"/>
          <w:sz w:val="13"/>
          <w:szCs w:val="13"/>
        </w:rPr>
        <w:t>2</w:t>
      </w:r>
      <w:r>
        <w:rPr>
          <w:rFonts w:eastAsia="Calibri" w:cs="Calibri" w:ascii="Calibri" w:hAnsi="Calibri"/>
          <w:color w:val="auto"/>
          <w:sz w:val="27"/>
          <w:szCs w:val="27"/>
          <w:vertAlign w:val="superscript"/>
        </w:rPr>
        <w:t>[3]</w:t>
      </w:r>
      <w:r>
        <w:rPr>
          <w:rFonts w:eastAsia="Calibri" w:cs="Calibri" w:ascii="Calibri" w:hAnsi="Calibri"/>
          <w:color w:val="auto"/>
          <w:sz w:val="20"/>
          <w:szCs w:val="20"/>
        </w:rPr>
        <w:t>. The projection of a three-dimensional hollandite lattice on a plane is the lattice of our model. Its unit consists of an octagon that is surrounded by four square plaquettes at alternate edges of the octagon. Here we introduced exchange interactions up to second nearest neighbors. At appropriate values of these interactions, the model shows an exact ground state, which is formed by a product of singlet dimers. Our exact analytical result is reproduced by numerical exact diagonalization method on the lattice of finite sizes. We also employed bond-operator mean-field theory on our model at all parameter regimes</w:t>
      </w:r>
      <w:r>
        <w:rPr>
          <w:rFonts w:eastAsia="Calibri" w:cs="Calibri" w:ascii="Calibri" w:hAnsi="Calibri"/>
          <w:color w:val="auto"/>
          <w:sz w:val="27"/>
          <w:szCs w:val="27"/>
          <w:vertAlign w:val="superscript"/>
        </w:rPr>
        <w:t>[2]</w:t>
      </w:r>
      <w:r>
        <w:rPr>
          <w:rFonts w:eastAsia="Calibri" w:cs="Calibri" w:ascii="Calibri" w:hAnsi="Calibri"/>
          <w:color w:val="auto"/>
          <w:sz w:val="20"/>
          <w:szCs w:val="20"/>
        </w:rPr>
        <w:t xml:space="preserve">. </w:t>
      </w:r>
      <w:r>
        <w:rPr>
          <w:rFonts w:eastAsia="Calibri" w:cs="Calibri" w:ascii="Calibri" w:hAnsi="Calibri"/>
          <w:color w:val="auto"/>
          <w:sz w:val="20"/>
          <w:szCs w:val="20"/>
        </w:rPr>
        <w:t>In addition to demonstrating good agreement at the exactly solvable point, this theory unveils exciting and rich many-body phases as we tune the exchange interactions.</w:t>
      </w:r>
      <w:r>
        <w:rPr>
          <w:rFonts w:eastAsia="Calibri" w:cs="Calibri" w:ascii="Calibri" w:hAnsi="Calibri"/>
          <w:color w:val="auto"/>
          <w:sz w:val="20"/>
          <w:szCs w:val="20"/>
        </w:rPr>
        <w:t xml:space="preserve">  Again, the spin wave theory results using Holstein-Primakoff transformations confirm the evolution of magnetic phases as the exchange interactions are tuned.</w:t>
      </w:r>
    </w:p>
    <w:p>
      <w:pPr>
        <w:pStyle w:val="Normal"/>
        <w:spacing w:lineRule="exact" w:line="160" w:before="0" w:after="0"/>
        <w:rPr>
          <w:color w:val="auto"/>
          <w:sz w:val="24"/>
          <w:szCs w:val="24"/>
        </w:rPr>
      </w:pPr>
      <w:r>
        <w:rPr>
          <w:color w:val="auto"/>
          <w:sz w:val="24"/>
          <w:szCs w:val="24"/>
        </w:rPr>
      </w:r>
    </w:p>
    <w:p>
      <w:pPr>
        <w:pStyle w:val="Normal"/>
        <w:spacing w:before="0" w:after="0"/>
        <w:rPr>
          <w:color w:val="auto"/>
          <w:sz w:val="20"/>
          <w:szCs w:val="20"/>
        </w:rPr>
      </w:pPr>
      <w:r>
        <w:rPr>
          <w:rFonts w:eastAsia="Calibri" w:cs="Calibri" w:ascii="Calibri" w:hAnsi="Calibri"/>
          <w:b/>
          <w:bCs/>
          <w:color w:val="auto"/>
          <w:sz w:val="23"/>
          <w:szCs w:val="23"/>
        </w:rPr>
        <w:t>References:</w:t>
      </w:r>
    </w:p>
    <w:p>
      <w:pPr>
        <w:pStyle w:val="Normal"/>
        <w:spacing w:lineRule="exact" w:line="153" w:before="0" w:after="0"/>
        <w:rPr>
          <w:color w:val="auto"/>
          <w:sz w:val="24"/>
          <w:szCs w:val="24"/>
        </w:rPr>
      </w:pPr>
      <w:r>
        <w:rPr>
          <w:color w:val="auto"/>
          <w:sz w:val="24"/>
          <w:szCs w:val="24"/>
        </w:rPr>
      </w:r>
    </w:p>
    <w:p>
      <w:pPr>
        <w:pStyle w:val="Normal"/>
        <w:numPr>
          <w:ilvl w:val="0"/>
          <w:numId w:val="1"/>
        </w:numPr>
        <w:tabs>
          <w:tab w:val="clear" w:pos="720"/>
          <w:tab w:val="left" w:pos="280" w:leader="none"/>
        </w:tabs>
        <w:spacing w:before="0" w:after="0"/>
        <w:rPr>
          <w:rFonts w:ascii="Calibri" w:hAnsi="Calibri" w:eastAsia="Calibri" w:cs="Calibri"/>
          <w:color w:val="auto"/>
          <w:sz w:val="20"/>
          <w:szCs w:val="20"/>
        </w:rPr>
      </w:pPr>
      <w:r>
        <w:rPr>
          <w:rFonts w:eastAsia="Calibri" w:cs="Calibri" w:ascii="Calibri" w:hAnsi="Calibri"/>
          <w:color w:val="auto"/>
          <w:sz w:val="20"/>
          <w:szCs w:val="20"/>
        </w:rPr>
        <w:t xml:space="preserve">C.K. Majumdar and D.K. Ghosh, J. Math. Phys. </w:t>
      </w:r>
      <w:r>
        <w:rPr>
          <w:rFonts w:eastAsia="Calibri" w:cs="Calibri" w:ascii="Calibri" w:hAnsi="Calibri"/>
          <w:b/>
          <w:bCs/>
          <w:color w:val="auto"/>
          <w:sz w:val="20"/>
          <w:szCs w:val="20"/>
        </w:rPr>
        <w:t>10</w:t>
      </w:r>
      <w:r>
        <w:rPr>
          <w:rFonts w:eastAsia="Calibri" w:cs="Calibri" w:ascii="Calibri" w:hAnsi="Calibri"/>
          <w:color w:val="auto"/>
          <w:sz w:val="20"/>
          <w:szCs w:val="20"/>
        </w:rPr>
        <w:t>, 1399 (1969).</w:t>
      </w:r>
    </w:p>
    <w:p>
      <w:pPr>
        <w:pStyle w:val="Normal"/>
        <w:spacing w:lineRule="exact" w:line="160" w:before="0" w:after="0"/>
        <w:rPr>
          <w:rFonts w:ascii="Calibri" w:hAnsi="Calibri" w:eastAsia="Calibri" w:cs="Calibri"/>
          <w:color w:val="auto"/>
          <w:sz w:val="20"/>
          <w:szCs w:val="20"/>
        </w:rPr>
      </w:pPr>
      <w:r>
        <w:rPr>
          <w:rFonts w:eastAsia="Calibri" w:cs="Calibri" w:ascii="Calibri" w:hAnsi="Calibri"/>
          <w:color w:val="auto"/>
          <w:sz w:val="20"/>
          <w:szCs w:val="20"/>
        </w:rPr>
      </w:r>
    </w:p>
    <w:p>
      <w:pPr>
        <w:pStyle w:val="Normal"/>
        <w:numPr>
          <w:ilvl w:val="0"/>
          <w:numId w:val="1"/>
        </w:numPr>
        <w:tabs>
          <w:tab w:val="clear" w:pos="720"/>
          <w:tab w:val="left" w:pos="280" w:leader="none"/>
        </w:tabs>
        <w:spacing w:before="0" w:after="0"/>
        <w:rPr>
          <w:rFonts w:ascii="Calibri" w:hAnsi="Calibri" w:eastAsia="Calibri" w:cs="Calibri"/>
          <w:color w:val="auto"/>
          <w:sz w:val="20"/>
          <w:szCs w:val="20"/>
        </w:rPr>
      </w:pPr>
      <w:r>
        <w:rPr>
          <w:rFonts w:eastAsia="Calibri" w:cs="Calibri" w:ascii="Calibri" w:hAnsi="Calibri"/>
          <w:color w:val="auto"/>
          <w:sz w:val="20"/>
          <w:szCs w:val="20"/>
        </w:rPr>
        <w:t xml:space="preserve">S. Sachdev and R.N. Bhatt, Phys. Rev. B </w:t>
      </w:r>
      <w:r>
        <w:rPr>
          <w:rFonts w:eastAsia="Calibri" w:cs="Calibri" w:ascii="Calibri" w:hAnsi="Calibri"/>
          <w:b/>
          <w:bCs/>
          <w:color w:val="auto"/>
          <w:sz w:val="20"/>
          <w:szCs w:val="20"/>
        </w:rPr>
        <w:t>41</w:t>
      </w:r>
      <w:r>
        <w:rPr>
          <w:rFonts w:eastAsia="Calibri" w:cs="Calibri" w:ascii="Calibri" w:hAnsi="Calibri"/>
          <w:color w:val="auto"/>
          <w:sz w:val="20"/>
          <w:szCs w:val="20"/>
        </w:rPr>
        <w:t>, 9323 (1990).</w:t>
      </w:r>
    </w:p>
    <w:p>
      <w:pPr>
        <w:pStyle w:val="Normal"/>
        <w:spacing w:lineRule="exact" w:line="171" w:before="0" w:after="0"/>
        <w:rPr>
          <w:rFonts w:ascii="Calibri" w:hAnsi="Calibri" w:eastAsia="Calibri" w:cs="Calibri"/>
          <w:color w:val="auto"/>
          <w:sz w:val="20"/>
          <w:szCs w:val="20"/>
        </w:rPr>
      </w:pPr>
      <w:r>
        <w:rPr>
          <w:rFonts w:eastAsia="Calibri" w:cs="Calibri" w:ascii="Calibri" w:hAnsi="Calibri"/>
          <w:color w:val="auto"/>
          <w:sz w:val="20"/>
          <w:szCs w:val="20"/>
        </w:rPr>
      </w:r>
    </w:p>
    <w:p>
      <w:pPr>
        <w:pStyle w:val="Normal"/>
        <w:numPr>
          <w:ilvl w:val="0"/>
          <w:numId w:val="1"/>
        </w:numPr>
        <w:tabs>
          <w:tab w:val="clear" w:pos="720"/>
          <w:tab w:val="left" w:pos="269" w:leader="none"/>
        </w:tabs>
        <w:spacing w:before="0" w:after="0"/>
        <w:rPr>
          <w:rFonts w:ascii="Calibri" w:hAnsi="Calibri" w:eastAsia="Calibri" w:cs="Calibri"/>
          <w:color w:val="auto"/>
          <w:sz w:val="20"/>
          <w:szCs w:val="20"/>
        </w:rPr>
      </w:pPr>
      <w:r>
        <w:rPr>
          <w:rFonts w:eastAsia="Calibri" w:cs="Calibri" w:ascii="Calibri" w:hAnsi="Calibri"/>
          <w:color w:val="auto"/>
          <w:sz w:val="20"/>
          <w:szCs w:val="20"/>
        </w:rPr>
        <w:t xml:space="preserve">S. Liu, A. R. Akbashev, X. Yang, X. Liu, W. Li, L. Zhao, X. Li, A. Couzis, M.-G. Han, Y. Zhu et al., Sci. Rep. </w:t>
      </w:r>
      <w:r>
        <w:rPr>
          <w:rFonts w:eastAsia="Calibri" w:cs="Calibri" w:ascii="Calibri" w:hAnsi="Calibri"/>
          <w:b/>
          <w:bCs/>
          <w:color w:val="auto"/>
          <w:sz w:val="20"/>
          <w:szCs w:val="20"/>
        </w:rPr>
        <w:t>4</w:t>
      </w:r>
      <w:r>
        <w:rPr>
          <w:rFonts w:eastAsia="Calibri" w:cs="Calibri" w:ascii="Calibri" w:hAnsi="Calibri"/>
          <w:color w:val="auto"/>
          <w:sz w:val="20"/>
          <w:szCs w:val="20"/>
        </w:rPr>
        <w:t>, 6203 (2014).</w:t>
      </w:r>
    </w:p>
    <w:sectPr>
      <w:type w:val="nextPage"/>
      <w:pgSz w:w="12240" w:h="15840"/>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Lohit Devanagari" w:eastAsiaTheme="minorEastAsia"/>
        <w:sz w:val="22"/>
        <w:szCs w:val="22"/>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 w:cs="Lohit Devanagari" w:eastAsiaTheme="minorEastAsia"/>
      <w:color w:val="auto"/>
      <w:kern w:val="0"/>
      <w:sz w:val="22"/>
      <w:szCs w:val="22"/>
      <w:lang w:val="en-GB" w:eastAsia="zh-CN" w:bidi="hi-IN"/>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LibreOffice/7.3.7.2$Linux_X86_64 LibreOffice_project/30$Build-2</Application>
  <AppVersion>15.0000</AppVersion>
  <Pages>1</Pages>
  <Words>261</Words>
  <Characters>1447</Characters>
  <CharactersWithSpaces>1697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2023-02-28T06:57:14Z</dcterms:created>
  <dc:creator>Windows User</dc:creator>
  <dc:description/>
  <dc:language>en-GB</dc:language>
  <cp:lastModifiedBy/>
  <dcterms:modified xsi:type="dcterms:W3CDTF">2023-02-28T11:42:28Z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