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C49" w14:textId="77777777" w:rsidR="002B79BA" w:rsidRPr="0034140A" w:rsidRDefault="002B79BA" w:rsidP="002B79BA">
      <w:pPr>
        <w:pStyle w:val="ICMPCTitle"/>
        <w:rPr>
          <w:color w:val="auto"/>
        </w:rPr>
      </w:pPr>
      <w:r w:rsidRPr="0034140A">
        <w:rPr>
          <w:color w:val="auto"/>
        </w:rPr>
        <w:t>Fabrication and Characterization of Flexible Piezoelectric Composite Film of KNN-LiSb /PVDF for Energy Harvesting Application</w:t>
      </w:r>
    </w:p>
    <w:p w14:paraId="6CF3ADB4" w14:textId="77777777" w:rsidR="002B79BA" w:rsidRPr="0034140A" w:rsidRDefault="002B79BA" w:rsidP="002B79BA">
      <w:pPr>
        <w:pStyle w:val="ICMPCAuthor"/>
        <w:rPr>
          <w:color w:val="auto"/>
          <w:vertAlign w:val="superscript"/>
        </w:rPr>
      </w:pPr>
      <w:r w:rsidRPr="0034140A">
        <w:rPr>
          <w:color w:val="auto"/>
        </w:rPr>
        <w:t>Abhishek Kumar</w:t>
      </w:r>
      <w:r w:rsidRPr="0034140A">
        <w:rPr>
          <w:color w:val="auto"/>
          <w:vertAlign w:val="superscript"/>
        </w:rPr>
        <w:t>*</w:t>
      </w:r>
      <w:r w:rsidRPr="0034140A">
        <w:rPr>
          <w:color w:val="auto"/>
        </w:rPr>
        <w:t>, Akshay Yadav</w:t>
      </w:r>
      <w:r w:rsidRPr="0034140A">
        <w:rPr>
          <w:color w:val="auto"/>
          <w:vertAlign w:val="superscript"/>
        </w:rPr>
        <w:t>*</w:t>
      </w:r>
      <w:r w:rsidRPr="0034140A">
        <w:rPr>
          <w:color w:val="auto"/>
        </w:rPr>
        <w:t>, Komal Verma</w:t>
      </w:r>
      <w:r w:rsidRPr="0034140A">
        <w:rPr>
          <w:color w:val="auto"/>
          <w:vertAlign w:val="superscript"/>
        </w:rPr>
        <w:t>*</w:t>
      </w:r>
      <w:r w:rsidRPr="0034140A">
        <w:rPr>
          <w:color w:val="auto"/>
        </w:rPr>
        <w:t>, Richa Sharma</w:t>
      </w:r>
      <w:r w:rsidRPr="0034140A">
        <w:rPr>
          <w:color w:val="auto"/>
          <w:vertAlign w:val="superscript"/>
        </w:rPr>
        <w:t>*#</w:t>
      </w:r>
    </w:p>
    <w:p w14:paraId="5B5BD3A4" w14:textId="0AC4984E" w:rsidR="002B79BA" w:rsidRPr="0034140A" w:rsidRDefault="006E2923" w:rsidP="00BC5E79">
      <w:pPr>
        <w:pStyle w:val="ICMPCAutho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*</w:t>
      </w:r>
      <w:r w:rsidR="002B79BA" w:rsidRPr="0034140A">
        <w:rPr>
          <w:i w:val="0"/>
          <w:iCs w:val="0"/>
          <w:color w:val="auto"/>
        </w:rPr>
        <w:t>Department of Applied Physics, Delhi Technological University, Shahbad Daulatpur, Main Bawana Road, Delhi- 110042</w:t>
      </w:r>
      <w:r w:rsidR="002B79BA" w:rsidRPr="0034140A">
        <w:rPr>
          <w:i w:val="0"/>
          <w:iCs w:val="0"/>
          <w:color w:val="auto"/>
        </w:rPr>
        <w:br/>
      </w:r>
    </w:p>
    <w:p w14:paraId="6CD32127" w14:textId="77777777" w:rsidR="002B79BA" w:rsidRPr="0034140A" w:rsidRDefault="002B79BA" w:rsidP="002B79BA">
      <w:pPr>
        <w:pStyle w:val="ICMPCAffiliation"/>
        <w:rPr>
          <w:color w:val="auto"/>
        </w:rPr>
      </w:pPr>
      <w:r w:rsidRPr="0034140A">
        <w:rPr>
          <w:i/>
          <w:color w:val="auto"/>
        </w:rPr>
        <w:t>Name of presenting author:</w:t>
      </w:r>
      <w:r w:rsidRPr="0034140A">
        <w:rPr>
          <w:color w:val="auto"/>
        </w:rPr>
        <w:t xml:space="preserve"> </w:t>
      </w:r>
      <w:r w:rsidRPr="0034140A">
        <w:rPr>
          <w:i/>
          <w:color w:val="auto"/>
        </w:rPr>
        <w:t>Abhishek Kumar &amp; Akshay Yadav</w:t>
      </w:r>
    </w:p>
    <w:p w14:paraId="7AABC88E" w14:textId="4E8D368F" w:rsidR="002B79BA" w:rsidRPr="0034140A" w:rsidRDefault="00B06F82" w:rsidP="002B79BA">
      <w:pPr>
        <w:pStyle w:val="ICMPCAffiliation"/>
        <w:rPr>
          <w:i/>
          <w:color w:val="auto"/>
        </w:rPr>
      </w:pPr>
      <w:r>
        <w:rPr>
          <w:i/>
          <w:color w:val="auto"/>
        </w:rPr>
        <w:t>#</w:t>
      </w:r>
      <w:r w:rsidR="002B79BA" w:rsidRPr="0034140A">
        <w:rPr>
          <w:i/>
          <w:color w:val="auto"/>
        </w:rPr>
        <w:t>Corresponding author’s email: richasharma@dtu.ac.in</w:t>
      </w:r>
    </w:p>
    <w:p w14:paraId="2B39E54D" w14:textId="77777777" w:rsidR="002B79BA" w:rsidRPr="00E33193" w:rsidRDefault="002B79BA" w:rsidP="002B79BA">
      <w:pPr>
        <w:pStyle w:val="ICMPCAffiliation"/>
        <w:rPr>
          <w:i/>
          <w:color w:val="FF0000"/>
        </w:rPr>
      </w:pPr>
    </w:p>
    <w:p w14:paraId="671E7C3C" w14:textId="77777777" w:rsidR="002B79BA" w:rsidRPr="009A5B67" w:rsidRDefault="002B79BA" w:rsidP="002B79BA">
      <w:pPr>
        <w:pStyle w:val="ICMPCAffiliation"/>
      </w:pPr>
    </w:p>
    <w:p w14:paraId="1790EBA8" w14:textId="77777777" w:rsidR="002B79BA" w:rsidRPr="0034140A" w:rsidRDefault="002B79BA" w:rsidP="002B79BA">
      <w:pPr>
        <w:pStyle w:val="ICMPCAffiliation"/>
        <w:rPr>
          <w:b/>
          <w:color w:val="auto"/>
          <w:sz w:val="24"/>
          <w:szCs w:val="24"/>
        </w:rPr>
      </w:pPr>
      <w:r w:rsidRPr="0034140A">
        <w:rPr>
          <w:b/>
          <w:color w:val="auto"/>
          <w:sz w:val="24"/>
          <w:szCs w:val="24"/>
        </w:rPr>
        <w:t xml:space="preserve">ABSTRACT </w:t>
      </w:r>
    </w:p>
    <w:p w14:paraId="2DAD480D" w14:textId="77777777" w:rsidR="002B79BA" w:rsidRPr="009A5B67" w:rsidRDefault="002B79BA" w:rsidP="002B79BA">
      <w:pPr>
        <w:pStyle w:val="ICMPCAffiliation"/>
        <w:rPr>
          <w:bCs/>
          <w:sz w:val="24"/>
          <w:szCs w:val="24"/>
        </w:rPr>
      </w:pPr>
    </w:p>
    <w:p w14:paraId="6BB1E127" w14:textId="36CDD29C" w:rsidR="002B79BA" w:rsidRDefault="002B79BA" w:rsidP="002B79B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0D87">
        <w:rPr>
          <w:rFonts w:ascii="Times New Roman" w:hAnsi="Times New Roman" w:cs="Times New Roman"/>
          <w:sz w:val="18"/>
          <w:szCs w:val="18"/>
        </w:rPr>
        <w:t>Piezoelectric energy harvesting has attracted a lot of interest for tackling the environmental issue brought on by the usage of non-renewable resources.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71E7">
        <w:rPr>
          <w:rFonts w:ascii="Times New Roman" w:hAnsi="Times New Roman" w:cs="Times New Roman"/>
          <w:sz w:val="18"/>
          <w:szCs w:val="18"/>
        </w:rPr>
        <w:t xml:space="preserve">Over the last few decades, self-powered, portable, lightweight technologies and smart materials have become more prevalent. Piezoelectric materials are the most widely used among these smart materials. </w:t>
      </w:r>
      <w:r w:rsidR="00935051">
        <w:rPr>
          <w:rFonts w:ascii="Times New Roman" w:hAnsi="Times New Roman" w:cs="Times New Roman"/>
          <w:sz w:val="18"/>
          <w:szCs w:val="18"/>
        </w:rPr>
        <w:t xml:space="preserve">Piezoelectric materials can be used to convert mechanical energy into electrical energy. </w:t>
      </w:r>
      <w:r w:rsidRPr="005F71E7">
        <w:rPr>
          <w:rFonts w:ascii="Times New Roman" w:hAnsi="Times New Roman" w:cs="Times New Roman"/>
          <w:sz w:val="18"/>
          <w:szCs w:val="18"/>
        </w:rPr>
        <w:t>Past studies have shown that lead-based ceramics, such as lead zirconate titanate (PZT), have excellent piezoelectric properties</w:t>
      </w:r>
      <w:r>
        <w:rPr>
          <w:rFonts w:ascii="Times New Roman" w:hAnsi="Times New Roman" w:cs="Times New Roman"/>
          <w:sz w:val="18"/>
          <w:szCs w:val="18"/>
        </w:rPr>
        <w:t xml:space="preserve"> like high piezoelectric coefficient(d</w:t>
      </w:r>
      <w:r w:rsidRPr="00CA08A2">
        <w:rPr>
          <w:rFonts w:ascii="Times New Roman" w:hAnsi="Times New Roman" w:cs="Times New Roman"/>
          <w:sz w:val="18"/>
          <w:szCs w:val="18"/>
          <w:vertAlign w:val="subscript"/>
        </w:rPr>
        <w:t>33</w:t>
      </w:r>
      <w:r>
        <w:rPr>
          <w:rFonts w:ascii="Times New Roman" w:hAnsi="Times New Roman" w:cs="Times New Roman"/>
          <w:sz w:val="18"/>
          <w:szCs w:val="18"/>
        </w:rPr>
        <w:t>), and high dielectric constant</w:t>
      </w:r>
      <w:r w:rsidRPr="005F71E7">
        <w:rPr>
          <w:rFonts w:ascii="Times New Roman" w:hAnsi="Times New Roman" w:cs="Times New Roman"/>
          <w:sz w:val="18"/>
          <w:szCs w:val="18"/>
        </w:rPr>
        <w:t>. But because PZT contains a significant amount of lead (around 60%), it is detrimental to the environmen</w:t>
      </w:r>
      <w:r w:rsidRPr="00EA5250">
        <w:rPr>
          <w:rFonts w:ascii="Times New Roman" w:hAnsi="Times New Roman" w:cs="Times New Roman"/>
          <w:sz w:val="18"/>
          <w:szCs w:val="18"/>
        </w:rPr>
        <w:t xml:space="preserve">t. </w:t>
      </w:r>
      <w:r w:rsidRPr="005F71E7">
        <w:rPr>
          <w:rFonts w:ascii="Times New Roman" w:hAnsi="Times New Roman" w:cs="Times New Roman"/>
          <w:sz w:val="18"/>
          <w:szCs w:val="18"/>
        </w:rPr>
        <w:t>Lead-free ceramics, such as potassium sodium niobate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71E7">
        <w:rPr>
          <w:rFonts w:ascii="Times New Roman" w:hAnsi="Times New Roman" w:cs="Times New Roman"/>
          <w:sz w:val="18"/>
          <w:szCs w:val="18"/>
        </w:rPr>
        <w:t>(KNN), barium titanate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71E7">
        <w:rPr>
          <w:rFonts w:ascii="Times New Roman" w:hAnsi="Times New Roman" w:cs="Times New Roman"/>
          <w:sz w:val="18"/>
          <w:szCs w:val="18"/>
        </w:rPr>
        <w:t>(BaTiO3), bismuth potassium titanate (BKT), etc, are preferred to resolve this matter. Due to their environmental friendliness, good electrical properties, and high curie temperature, KNN-based ceramics have gained a lot of attention.</w:t>
      </w:r>
    </w:p>
    <w:p w14:paraId="22178B7B" w14:textId="0636857D" w:rsidR="002B79BA" w:rsidRPr="005F71E7" w:rsidRDefault="002B79BA" w:rsidP="002B79B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1E7">
        <w:rPr>
          <w:rFonts w:ascii="Times New Roman" w:hAnsi="Times New Roman" w:cs="Times New Roman"/>
          <w:sz w:val="18"/>
          <w:szCs w:val="18"/>
        </w:rPr>
        <w:t xml:space="preserve"> In this </w:t>
      </w:r>
      <w:r>
        <w:rPr>
          <w:rFonts w:ascii="Times New Roman" w:hAnsi="Times New Roman" w:cs="Times New Roman"/>
          <w:sz w:val="18"/>
          <w:szCs w:val="18"/>
        </w:rPr>
        <w:t>work</w:t>
      </w:r>
      <w:r w:rsidRPr="005F71E7">
        <w:rPr>
          <w:rFonts w:ascii="Times New Roman" w:hAnsi="Times New Roman" w:cs="Times New Roman"/>
          <w:sz w:val="18"/>
          <w:szCs w:val="18"/>
        </w:rPr>
        <w:t xml:space="preserve">, we have </w:t>
      </w:r>
      <w:r>
        <w:rPr>
          <w:rFonts w:ascii="Times New Roman" w:hAnsi="Times New Roman" w:cs="Times New Roman"/>
          <w:sz w:val="18"/>
          <w:szCs w:val="18"/>
        </w:rPr>
        <w:t>fabricated</w:t>
      </w:r>
      <w:r w:rsidR="006E2923">
        <w:rPr>
          <w:rFonts w:ascii="Times New Roman" w:hAnsi="Times New Roman" w:cs="Times New Roman"/>
          <w:sz w:val="18"/>
          <w:szCs w:val="18"/>
        </w:rPr>
        <w:t xml:space="preserve"> [0.95(K</w:t>
      </w:r>
      <w:r w:rsidR="006E2923">
        <w:rPr>
          <w:rFonts w:ascii="Times New Roman" w:hAnsi="Times New Roman" w:cs="Times New Roman"/>
          <w:sz w:val="18"/>
          <w:szCs w:val="18"/>
          <w:vertAlign w:val="subscript"/>
        </w:rPr>
        <w:t>0.48</w:t>
      </w:r>
      <w:r w:rsidR="006E2923">
        <w:rPr>
          <w:rFonts w:ascii="Times New Roman" w:hAnsi="Times New Roman" w:cs="Times New Roman"/>
          <w:sz w:val="18"/>
          <w:szCs w:val="18"/>
        </w:rPr>
        <w:t>Na</w:t>
      </w:r>
      <w:r w:rsidR="006E2923">
        <w:rPr>
          <w:rFonts w:ascii="Times New Roman" w:hAnsi="Times New Roman" w:cs="Times New Roman"/>
          <w:sz w:val="18"/>
          <w:szCs w:val="18"/>
          <w:vertAlign w:val="subscript"/>
        </w:rPr>
        <w:t>0.52</w:t>
      </w:r>
      <w:r w:rsidR="006E2923">
        <w:rPr>
          <w:rFonts w:ascii="Times New Roman" w:hAnsi="Times New Roman" w:cs="Times New Roman"/>
          <w:sz w:val="18"/>
          <w:szCs w:val="18"/>
        </w:rPr>
        <w:t>)</w:t>
      </w:r>
      <w:r w:rsidR="00DA7C6F">
        <w:rPr>
          <w:rFonts w:ascii="Times New Roman" w:hAnsi="Times New Roman" w:cs="Times New Roman"/>
          <w:sz w:val="18"/>
          <w:szCs w:val="18"/>
        </w:rPr>
        <w:t xml:space="preserve"> </w:t>
      </w:r>
      <w:r w:rsidR="006E2923">
        <w:rPr>
          <w:rFonts w:ascii="Times New Roman" w:hAnsi="Times New Roman" w:cs="Times New Roman"/>
          <w:sz w:val="18"/>
          <w:szCs w:val="18"/>
        </w:rPr>
        <w:t>NbO</w:t>
      </w:r>
      <w:r w:rsidR="006E2923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6E2923">
        <w:rPr>
          <w:rFonts w:ascii="Times New Roman" w:hAnsi="Times New Roman" w:cs="Times New Roman"/>
          <w:sz w:val="18"/>
          <w:szCs w:val="18"/>
        </w:rPr>
        <w:t xml:space="preserve"> – 0.05LiSbO</w:t>
      </w:r>
      <w:r w:rsidR="006E2923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6E2923">
        <w:rPr>
          <w:rFonts w:ascii="Times New Roman" w:hAnsi="Times New Roman" w:cs="Times New Roman"/>
          <w:sz w:val="18"/>
          <w:szCs w:val="18"/>
        </w:rPr>
        <w:t>]</w:t>
      </w:r>
      <w:r w:rsidRPr="005F71E7">
        <w:rPr>
          <w:rFonts w:ascii="Times New Roman" w:hAnsi="Times New Roman" w:cs="Times New Roman"/>
          <w:sz w:val="18"/>
          <w:szCs w:val="18"/>
        </w:rPr>
        <w:t xml:space="preserve"> / PVDF piezoelectric generator</w:t>
      </w:r>
      <w:r>
        <w:rPr>
          <w:rFonts w:ascii="Times New Roman" w:hAnsi="Times New Roman" w:cs="Times New Roman"/>
          <w:sz w:val="18"/>
          <w:szCs w:val="18"/>
        </w:rPr>
        <w:t xml:space="preserve"> (PEG)</w:t>
      </w:r>
      <w:r w:rsidRPr="005F71E7">
        <w:rPr>
          <w:rFonts w:ascii="Times New Roman" w:hAnsi="Times New Roman" w:cs="Times New Roman"/>
          <w:sz w:val="18"/>
          <w:szCs w:val="18"/>
        </w:rPr>
        <w:t>, where PVDF is used as a polymer matrix and KNN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5F71E7">
        <w:rPr>
          <w:rFonts w:ascii="Times New Roman" w:hAnsi="Times New Roman" w:cs="Times New Roman"/>
          <w:sz w:val="18"/>
          <w:szCs w:val="18"/>
        </w:rPr>
        <w:t>LiSb as a filler</w:t>
      </w:r>
      <w:r>
        <w:rPr>
          <w:rFonts w:ascii="Times New Roman" w:hAnsi="Times New Roman" w:cs="Times New Roman"/>
          <w:sz w:val="18"/>
          <w:szCs w:val="18"/>
        </w:rPr>
        <w:t xml:space="preserve"> piezoelectric material</w:t>
      </w:r>
      <w:r w:rsidRPr="005F71E7">
        <w:rPr>
          <w:rFonts w:ascii="Times New Roman" w:hAnsi="Times New Roman" w:cs="Times New Roman"/>
          <w:sz w:val="18"/>
          <w:szCs w:val="18"/>
        </w:rPr>
        <w:t>.</w:t>
      </w:r>
      <w:r w:rsidR="00980684">
        <w:rPr>
          <w:rFonts w:ascii="Times New Roman" w:hAnsi="Times New Roman" w:cs="Times New Roman"/>
          <w:sz w:val="18"/>
          <w:szCs w:val="18"/>
        </w:rPr>
        <w:t xml:space="preserve"> </w:t>
      </w:r>
      <w:r w:rsidRPr="003F28E0">
        <w:rPr>
          <w:rFonts w:ascii="Times New Roman" w:hAnsi="Times New Roman" w:cs="Times New Roman"/>
          <w:sz w:val="18"/>
          <w:szCs w:val="18"/>
        </w:rPr>
        <w:t xml:space="preserve">The stated objectives of adding </w:t>
      </w:r>
      <w:r>
        <w:rPr>
          <w:rFonts w:ascii="Times New Roman" w:hAnsi="Times New Roman" w:cs="Times New Roman"/>
          <w:sz w:val="18"/>
          <w:szCs w:val="18"/>
        </w:rPr>
        <w:t>L</w:t>
      </w:r>
      <w:r w:rsidRPr="003F28E0">
        <w:rPr>
          <w:rFonts w:ascii="Times New Roman" w:hAnsi="Times New Roman" w:cs="Times New Roman"/>
          <w:sz w:val="18"/>
          <w:szCs w:val="18"/>
        </w:rPr>
        <w:t xml:space="preserve">ithium and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F28E0">
        <w:rPr>
          <w:rFonts w:ascii="Times New Roman" w:hAnsi="Times New Roman" w:cs="Times New Roman"/>
          <w:sz w:val="18"/>
          <w:szCs w:val="18"/>
        </w:rPr>
        <w:t>ntimony to KNN powder are to improve the thermal stability, and piezoelectric</w:t>
      </w:r>
      <w:r>
        <w:rPr>
          <w:rFonts w:ascii="Times New Roman" w:hAnsi="Times New Roman" w:cs="Times New Roman"/>
          <w:sz w:val="18"/>
          <w:szCs w:val="18"/>
        </w:rPr>
        <w:t xml:space="preserve"> properties</w:t>
      </w:r>
      <w:r w:rsidRPr="003F28E0">
        <w:rPr>
          <w:rFonts w:ascii="Times New Roman" w:hAnsi="Times New Roman" w:cs="Times New Roman"/>
          <w:sz w:val="18"/>
          <w:szCs w:val="18"/>
        </w:rPr>
        <w:t>.</w:t>
      </w:r>
      <w:r w:rsidRPr="00042B9B">
        <w:t xml:space="preserve"> </w:t>
      </w:r>
      <w:r w:rsidRPr="00042B9B">
        <w:rPr>
          <w:rFonts w:ascii="Times New Roman" w:hAnsi="Times New Roman" w:cs="Times New Roman"/>
          <w:sz w:val="18"/>
          <w:szCs w:val="18"/>
        </w:rPr>
        <w:t xml:space="preserve">According to </w:t>
      </w:r>
      <w:r w:rsidR="007D363B">
        <w:rPr>
          <w:rFonts w:ascii="Times New Roman" w:hAnsi="Times New Roman" w:cs="Times New Roman"/>
          <w:sz w:val="18"/>
          <w:szCs w:val="18"/>
        </w:rPr>
        <w:t>literature</w:t>
      </w:r>
      <w:r w:rsidRPr="00042B9B">
        <w:rPr>
          <w:rFonts w:ascii="Times New Roman" w:hAnsi="Times New Roman" w:cs="Times New Roman"/>
          <w:sz w:val="18"/>
          <w:szCs w:val="18"/>
        </w:rPr>
        <w:t xml:space="preserve">, PVDF has been investigated as a potential piezoelectric polymer due to its structural flexibility and greater piezoelectric coefficient than other polymeric materials </w:t>
      </w:r>
      <w:r>
        <w:rPr>
          <w:rFonts w:ascii="Times New Roman" w:hAnsi="Times New Roman" w:cs="Times New Roman"/>
          <w:sz w:val="18"/>
          <w:szCs w:val="18"/>
        </w:rPr>
        <w:t xml:space="preserve">such </w:t>
      </w:r>
      <w:r w:rsidRPr="00042B9B">
        <w:rPr>
          <w:rFonts w:ascii="Times New Roman" w:hAnsi="Times New Roman" w:cs="Times New Roman"/>
          <w:sz w:val="18"/>
          <w:szCs w:val="18"/>
        </w:rPr>
        <w:t>as nylon11, polypropylene, poly dimethyl siloxane, and so forth.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71E7">
        <w:rPr>
          <w:rFonts w:ascii="Times New Roman" w:hAnsi="Times New Roman" w:cs="Times New Roman"/>
          <w:sz w:val="18"/>
          <w:szCs w:val="18"/>
        </w:rPr>
        <w:t xml:space="preserve">The KNN-LiSb / PVDF composite films have been prepared with various </w:t>
      </w:r>
      <w:r>
        <w:rPr>
          <w:rFonts w:ascii="Times New Roman" w:hAnsi="Times New Roman" w:cs="Times New Roman"/>
          <w:sz w:val="18"/>
          <w:szCs w:val="18"/>
        </w:rPr>
        <w:t>concentration</w:t>
      </w:r>
      <w:r w:rsidRPr="005F71E7">
        <w:rPr>
          <w:rFonts w:ascii="Times New Roman" w:hAnsi="Times New Roman" w:cs="Times New Roman"/>
          <w:sz w:val="18"/>
          <w:szCs w:val="18"/>
        </w:rPr>
        <w:t xml:space="preserve"> (0%,5%,10%,15%,</w:t>
      </w:r>
      <w:r>
        <w:rPr>
          <w:rFonts w:ascii="Times New Roman" w:hAnsi="Times New Roman" w:cs="Times New Roman"/>
          <w:sz w:val="18"/>
          <w:szCs w:val="18"/>
        </w:rPr>
        <w:t xml:space="preserve"> and </w:t>
      </w:r>
      <w:r w:rsidRPr="005F71E7">
        <w:rPr>
          <w:rFonts w:ascii="Times New Roman" w:hAnsi="Times New Roman" w:cs="Times New Roman"/>
          <w:sz w:val="18"/>
          <w:szCs w:val="18"/>
        </w:rPr>
        <w:t>20% on the weight of PVDF)</w:t>
      </w:r>
      <w:r w:rsidR="00DA7C6F">
        <w:rPr>
          <w:rFonts w:ascii="Times New Roman" w:hAnsi="Times New Roman" w:cs="Times New Roman"/>
          <w:sz w:val="18"/>
          <w:szCs w:val="18"/>
        </w:rPr>
        <w:t xml:space="preserve"> by using drop casting method</w:t>
      </w:r>
      <w:r w:rsidRPr="005F71E7">
        <w:rPr>
          <w:rFonts w:ascii="Times New Roman" w:hAnsi="Times New Roman" w:cs="Times New Roman"/>
          <w:sz w:val="18"/>
          <w:szCs w:val="18"/>
        </w:rPr>
        <w:t xml:space="preserve">. The </w:t>
      </w:r>
      <w:r>
        <w:rPr>
          <w:rFonts w:ascii="Times New Roman" w:hAnsi="Times New Roman" w:cs="Times New Roman"/>
          <w:sz w:val="18"/>
          <w:szCs w:val="18"/>
        </w:rPr>
        <w:t>phase</w:t>
      </w:r>
      <w:r w:rsidRPr="005F71E7">
        <w:rPr>
          <w:rFonts w:ascii="Times New Roman" w:hAnsi="Times New Roman" w:cs="Times New Roman"/>
          <w:sz w:val="18"/>
          <w:szCs w:val="18"/>
        </w:rPr>
        <w:t xml:space="preserve"> and structural analysis of piezoelectric composite film </w:t>
      </w:r>
      <w:r>
        <w:rPr>
          <w:rFonts w:ascii="Times New Roman" w:hAnsi="Times New Roman" w:cs="Times New Roman"/>
          <w:sz w:val="18"/>
          <w:szCs w:val="18"/>
        </w:rPr>
        <w:t>wa</w:t>
      </w:r>
      <w:r w:rsidRPr="005F71E7">
        <w:rPr>
          <w:rFonts w:ascii="Times New Roman" w:hAnsi="Times New Roman" w:cs="Times New Roman"/>
          <w:sz w:val="18"/>
          <w:szCs w:val="18"/>
        </w:rPr>
        <w:t>s investigated by XRD</w:t>
      </w:r>
      <w:r>
        <w:rPr>
          <w:rFonts w:ascii="Times New Roman" w:hAnsi="Times New Roman" w:cs="Times New Roman"/>
          <w:sz w:val="18"/>
          <w:szCs w:val="18"/>
        </w:rPr>
        <w:t xml:space="preserve"> and </w:t>
      </w:r>
      <w:r w:rsidRPr="005F71E7">
        <w:rPr>
          <w:rFonts w:ascii="Times New Roman" w:hAnsi="Times New Roman" w:cs="Times New Roman"/>
          <w:sz w:val="18"/>
          <w:szCs w:val="18"/>
        </w:rPr>
        <w:t>FTIR (Fourier Transform Infrared spectroscopy).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71E7">
        <w:rPr>
          <w:rFonts w:ascii="Times New Roman" w:hAnsi="Times New Roman" w:cs="Times New Roman"/>
          <w:sz w:val="18"/>
          <w:szCs w:val="18"/>
        </w:rPr>
        <w:t xml:space="preserve">The morphology of composite films </w:t>
      </w:r>
      <w:r w:rsidR="00B06F82">
        <w:rPr>
          <w:rFonts w:ascii="Times New Roman" w:hAnsi="Times New Roman" w:cs="Times New Roman"/>
          <w:sz w:val="18"/>
          <w:szCs w:val="18"/>
        </w:rPr>
        <w:t>was</w:t>
      </w:r>
      <w:r w:rsidRPr="005F71E7">
        <w:rPr>
          <w:rFonts w:ascii="Times New Roman" w:hAnsi="Times New Roman" w:cs="Times New Roman"/>
          <w:sz w:val="18"/>
          <w:szCs w:val="18"/>
        </w:rPr>
        <w:t xml:space="preserve"> investigated by SEM (Scanning Electron Microscopy)</w:t>
      </w:r>
      <w:r>
        <w:rPr>
          <w:rFonts w:ascii="Times New Roman" w:hAnsi="Times New Roman" w:cs="Times New Roman"/>
          <w:sz w:val="18"/>
          <w:szCs w:val="18"/>
        </w:rPr>
        <w:t xml:space="preserve"> which showed that </w:t>
      </w:r>
      <w:r w:rsidRPr="00BB552A">
        <w:rPr>
          <w:rFonts w:ascii="Times New Roman" w:hAnsi="Times New Roman" w:cs="Times New Roman"/>
          <w:sz w:val="18"/>
          <w:szCs w:val="18"/>
        </w:rPr>
        <w:t>the ceramic particles were distributed uniformly throughout the PVDF matrix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C0241">
        <w:rPr>
          <w:rFonts w:ascii="Times New Roman" w:hAnsi="Times New Roman" w:cs="Times New Roman"/>
          <w:sz w:val="18"/>
          <w:szCs w:val="18"/>
        </w:rPr>
        <w:t>Furthermore, the prepared generator's efficiency in harvesting energy was assessed by tapping it with a finger to apply pressure, followed by a measurement of the output voltage</w:t>
      </w:r>
      <w:r>
        <w:rPr>
          <w:rFonts w:ascii="Times New Roman" w:hAnsi="Times New Roman" w:cs="Times New Roman"/>
          <w:sz w:val="18"/>
          <w:szCs w:val="18"/>
        </w:rPr>
        <w:t xml:space="preserve"> and short-circuit current.</w:t>
      </w:r>
      <w:r w:rsidRPr="005F71E7">
        <w:rPr>
          <w:rFonts w:ascii="Times New Roman" w:hAnsi="Times New Roman" w:cs="Times New Roman"/>
          <w:sz w:val="18"/>
          <w:szCs w:val="18"/>
        </w:rPr>
        <w:t xml:space="preserve"> </w:t>
      </w:r>
      <w:r w:rsidRPr="00295EC9">
        <w:rPr>
          <w:rFonts w:ascii="Times New Roman" w:hAnsi="Times New Roman" w:cs="Times New Roman"/>
          <w:sz w:val="18"/>
          <w:szCs w:val="18"/>
        </w:rPr>
        <w:t>The current work showed that lead-free piezoelectric ceramics can be modified with suitable dopants to provide high-performance PE</w:t>
      </w:r>
      <w:r>
        <w:rPr>
          <w:rFonts w:ascii="Times New Roman" w:hAnsi="Times New Roman" w:cs="Times New Roman"/>
          <w:sz w:val="18"/>
          <w:szCs w:val="18"/>
        </w:rPr>
        <w:t>G.</w:t>
      </w:r>
    </w:p>
    <w:p w14:paraId="068849D6" w14:textId="54694BFE" w:rsidR="002B79BA" w:rsidRPr="00EE3EB4" w:rsidRDefault="002B79BA" w:rsidP="00EE3EB4">
      <w:pPr>
        <w:rPr>
          <w:rFonts w:ascii="Times New Roman" w:hAnsi="Times New Roman" w:cs="Times New Roman"/>
          <w:noProof/>
        </w:rPr>
      </w:pPr>
      <w:r w:rsidRPr="00993C1B">
        <w:rPr>
          <w:rFonts w:ascii="Times New Roman" w:hAnsi="Times New Roman" w:cs="Times New Roman"/>
          <w:i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18"/>
          <w:szCs w:val="18"/>
        </w:rPr>
        <w:t>Piezoelectricity, PVDF, XRD</w:t>
      </w:r>
    </w:p>
    <w:p w14:paraId="35855037" w14:textId="77777777" w:rsidR="002B79BA" w:rsidRPr="00A84AFE" w:rsidRDefault="002B79BA" w:rsidP="002B79B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</w:t>
      </w:r>
    </w:p>
    <w:p w14:paraId="56630DAB" w14:textId="77777777" w:rsidR="002B79BA" w:rsidRDefault="002B79BA" w:rsidP="002B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04219" w14:textId="77777777" w:rsidR="002B79BA" w:rsidRPr="009A5B67" w:rsidRDefault="002B79BA" w:rsidP="002B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75D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C47EEA" w14:textId="5357E5F1" w:rsidR="002B79BA" w:rsidRDefault="002B79BA" w:rsidP="002B79B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[1] K</w:t>
      </w:r>
      <w:r w:rsidR="00794544">
        <w:rPr>
          <w:rFonts w:ascii="Times New Roman" w:hAnsi="Times New Roman" w:cs="Times New Roman"/>
          <w:sz w:val="24"/>
          <w:szCs w:val="24"/>
        </w:rPr>
        <w:t>.</w:t>
      </w:r>
      <w:r w:rsidRPr="00F82D4C">
        <w:rPr>
          <w:rFonts w:ascii="Times New Roman" w:hAnsi="Times New Roman" w:cs="Times New Roman"/>
          <w:sz w:val="24"/>
          <w:szCs w:val="24"/>
        </w:rPr>
        <w:t xml:space="preserve"> Verma, S</w:t>
      </w:r>
      <w:r w:rsidR="00794544">
        <w:rPr>
          <w:rFonts w:ascii="Times New Roman" w:hAnsi="Times New Roman" w:cs="Times New Roman"/>
          <w:sz w:val="24"/>
          <w:szCs w:val="24"/>
        </w:rPr>
        <w:t>.</w:t>
      </w:r>
      <w:r w:rsidRPr="00F82D4C">
        <w:rPr>
          <w:rFonts w:ascii="Times New Roman" w:hAnsi="Times New Roman" w:cs="Times New Roman"/>
          <w:sz w:val="24"/>
          <w:szCs w:val="24"/>
        </w:rPr>
        <w:t xml:space="preserve"> Goel, R</w:t>
      </w:r>
      <w:r w:rsidR="00794544">
        <w:rPr>
          <w:rFonts w:ascii="Times New Roman" w:hAnsi="Times New Roman" w:cs="Times New Roman"/>
          <w:sz w:val="24"/>
          <w:szCs w:val="24"/>
        </w:rPr>
        <w:t>.</w:t>
      </w:r>
      <w:r w:rsidRPr="00F82D4C">
        <w:rPr>
          <w:rFonts w:ascii="Times New Roman" w:hAnsi="Times New Roman" w:cs="Times New Roman"/>
          <w:sz w:val="24"/>
          <w:szCs w:val="24"/>
        </w:rPr>
        <w:t xml:space="preserve"> Sharma, Influence of calcination and sintering temperature on the microstructure, dielectri</w:t>
      </w:r>
      <w:r>
        <w:rPr>
          <w:rFonts w:ascii="Times New Roman" w:hAnsi="Times New Roman" w:cs="Times New Roman"/>
          <w:sz w:val="24"/>
          <w:szCs w:val="24"/>
        </w:rPr>
        <w:t>c, f</w:t>
      </w:r>
      <w:r w:rsidRPr="00F82D4C">
        <w:rPr>
          <w:rFonts w:ascii="Times New Roman" w:hAnsi="Times New Roman" w:cs="Times New Roman"/>
          <w:sz w:val="24"/>
          <w:szCs w:val="24"/>
        </w:rPr>
        <w:t>erroelectric and piezoelectric properties of the lead-free KNN ceramics, J Matter Sci. Mater Electron,20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D4C">
        <w:rPr>
          <w:rFonts w:ascii="Times New Roman" w:hAnsi="Times New Roman" w:cs="Times New Roman"/>
          <w:sz w:val="24"/>
          <w:szCs w:val="24"/>
        </w:rPr>
        <w:t xml:space="preserve">2, </w:t>
      </w:r>
      <w:hyperlink r:id="rId4" w:history="1">
        <w:r w:rsidRPr="005B1DD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https://doi.org/10.1007/s10854-022-09295-2</w:t>
        </w:r>
      </w:hyperlink>
    </w:p>
    <w:p w14:paraId="6E1D3B32" w14:textId="77777777" w:rsidR="00C93520" w:rsidRPr="00F82D4C" w:rsidRDefault="00C93520" w:rsidP="002B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5BBF0" w14:textId="77777777" w:rsidR="002B79BA" w:rsidRPr="00F82D4C" w:rsidRDefault="002B79BA" w:rsidP="002B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[2] S. Bairagi and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4C">
        <w:rPr>
          <w:rFonts w:ascii="Times New Roman" w:hAnsi="Times New Roman" w:cs="Times New Roman"/>
          <w:sz w:val="24"/>
          <w:szCs w:val="24"/>
        </w:rPr>
        <w:t>Wazed Ali, Effects of surface modification on electrical properties of KNN nanorod-incorporated PVDF composites, J Mater Sci (2019) 54:11462–11484</w:t>
      </w:r>
    </w:p>
    <w:p w14:paraId="1647B35E" w14:textId="212D313D" w:rsidR="002B79BA" w:rsidRDefault="00AB7F62" w:rsidP="002B79B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B79BA" w:rsidRPr="005B1DD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https://doi.org/10.1007/s10853-019-03719</w:t>
        </w:r>
      </w:hyperlink>
      <w:r w:rsidR="002B79BA" w:rsidRPr="00F82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6C2D5" w14:textId="77777777" w:rsidR="006C2B0C" w:rsidRPr="00F82D4C" w:rsidRDefault="006C2B0C" w:rsidP="002B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9D6F3" w14:textId="77777777" w:rsidR="00C93520" w:rsidRDefault="002B79BA" w:rsidP="00C93520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[3] </w:t>
      </w:r>
      <w:r w:rsidRPr="00F82D4C">
        <w:rPr>
          <w:sz w:val="24"/>
          <w:szCs w:val="24"/>
        </w:rPr>
        <w:t>V. Vivekananda, A. Chandrasekhar, N. Rao Alluri, Y. Purusothaman, W.</w:t>
      </w:r>
      <w:r>
        <w:rPr>
          <w:sz w:val="24"/>
          <w:szCs w:val="24"/>
        </w:rPr>
        <w:t xml:space="preserve"> </w:t>
      </w:r>
      <w:r w:rsidRPr="00F82D4C">
        <w:rPr>
          <w:sz w:val="24"/>
          <w:szCs w:val="24"/>
        </w:rPr>
        <w:t xml:space="preserve">Joong Kim, C. Kang, S. Kim, A flexible piezoelectric composite nanogenerator based on doping enhanced lead-free nanoparticles, Materials Letters </w:t>
      </w:r>
      <w:hyperlink r:id="rId6" w:history="1">
        <w:r w:rsidRPr="00F82D4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https://doi.org/10.1016/j.matlet.2019.02.134</w:t>
        </w:r>
      </w:hyperlink>
    </w:p>
    <w:p w14:paraId="68AC95D8" w14:textId="59CD1E8C" w:rsidR="002B79BA" w:rsidRPr="00C93520" w:rsidRDefault="00794544" w:rsidP="00C93520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[4] K. Verma, R. Sharma, A flexible generator based on KNN/PVDF composite films: Role of KNN concentration on the piezoelectric performance of generator, Chinese journal of Physics, 1-13, </w:t>
      </w:r>
      <w:hyperlink r:id="rId7" w:history="1">
        <w:r w:rsidRPr="00025CA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https://doi.org/10.1016/j.cjph.2022.12.007</w:t>
        </w:r>
      </w:hyperlink>
    </w:p>
    <w:p w14:paraId="2D43EDB3" w14:textId="77777777" w:rsidR="00794544" w:rsidRPr="00F82D4C" w:rsidRDefault="00794544" w:rsidP="002B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AFE21" w14:textId="77777777" w:rsidR="002064B1" w:rsidRPr="002B79BA" w:rsidRDefault="002064B1" w:rsidP="002B79BA"/>
    <w:sectPr w:rsidR="002064B1" w:rsidRPr="002B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BA"/>
    <w:rsid w:val="000D0B83"/>
    <w:rsid w:val="002064B1"/>
    <w:rsid w:val="002B79BA"/>
    <w:rsid w:val="006C2B0C"/>
    <w:rsid w:val="006E2923"/>
    <w:rsid w:val="00794544"/>
    <w:rsid w:val="007D363B"/>
    <w:rsid w:val="008D4DDE"/>
    <w:rsid w:val="00935051"/>
    <w:rsid w:val="00980684"/>
    <w:rsid w:val="00AB7F62"/>
    <w:rsid w:val="00B06F82"/>
    <w:rsid w:val="00BC5E79"/>
    <w:rsid w:val="00C93520"/>
    <w:rsid w:val="00DA7C6F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879F"/>
  <w15:chartTrackingRefBased/>
  <w15:docId w15:val="{271BAE5A-57A3-406D-906A-CEADAFB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B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uiPriority w:val="99"/>
    <w:rsid w:val="002B79BA"/>
    <w:pPr>
      <w:suppressAutoHyphens/>
      <w:autoSpaceDE w:val="0"/>
      <w:autoSpaceDN w:val="0"/>
      <w:spacing w:before="140" w:after="0" w:line="219" w:lineRule="exact"/>
      <w:jc w:val="both"/>
    </w:pPr>
    <w:rPr>
      <w:rFonts w:ascii="Times New Roman" w:eastAsia="SimSun" w:hAnsi="Times New Roman" w:cs="Times New Roman"/>
      <w:color w:val="000000"/>
      <w:kern w:val="0"/>
      <w:sz w:val="18"/>
      <w:szCs w:val="18"/>
      <w:lang w:val="en-US" w:eastAsia="zh-CN"/>
      <w14:ligatures w14:val="none"/>
    </w:rPr>
  </w:style>
  <w:style w:type="paragraph" w:customStyle="1" w:styleId="ICMPCAuthor">
    <w:name w:val="ICMPC Author"/>
    <w:basedOn w:val="Normal"/>
    <w:uiPriority w:val="99"/>
    <w:rsid w:val="002B79BA"/>
    <w:pPr>
      <w:suppressAutoHyphens/>
      <w:autoSpaceDE w:val="0"/>
      <w:autoSpaceDN w:val="0"/>
      <w:spacing w:before="180" w:after="0" w:line="219" w:lineRule="exact"/>
      <w:jc w:val="center"/>
    </w:pPr>
    <w:rPr>
      <w:rFonts w:ascii="Times New Roman" w:eastAsia="SimSun" w:hAnsi="Times New Roman" w:cs="Times New Roman"/>
      <w:i/>
      <w:iCs/>
      <w:color w:val="000000"/>
      <w:lang w:val="en-US" w:eastAsia="zh-CN"/>
    </w:rPr>
  </w:style>
  <w:style w:type="paragraph" w:customStyle="1" w:styleId="ICMPCTitle">
    <w:name w:val="ICMPC Title"/>
    <w:basedOn w:val="Normal"/>
    <w:uiPriority w:val="99"/>
    <w:rsid w:val="002B79BA"/>
    <w:pPr>
      <w:suppressAutoHyphens/>
      <w:autoSpaceDE w:val="0"/>
      <w:autoSpaceDN w:val="0"/>
      <w:spacing w:after="0" w:line="340" w:lineRule="exact"/>
      <w:jc w:val="center"/>
    </w:pPr>
    <w:rPr>
      <w:rFonts w:ascii="Times New Roman" w:eastAsia="SimSun" w:hAnsi="Times New Roman" w:cs="Times New Roman"/>
      <w:b/>
      <w:bCs/>
      <w:color w:val="000000"/>
      <w:sz w:val="28"/>
      <w:szCs w:val="28"/>
      <w:lang w:val="en-US" w:eastAsia="zh-CN"/>
    </w:rPr>
  </w:style>
  <w:style w:type="paragraph" w:customStyle="1" w:styleId="ICMPCAffiliation">
    <w:name w:val="ICMPC Affiliation"/>
    <w:basedOn w:val="Normal"/>
    <w:uiPriority w:val="99"/>
    <w:rsid w:val="002B79BA"/>
    <w:pPr>
      <w:suppressAutoHyphens/>
      <w:autoSpaceDE w:val="0"/>
      <w:autoSpaceDN w:val="0"/>
      <w:spacing w:before="180" w:after="0" w:line="219" w:lineRule="exact"/>
      <w:jc w:val="center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B7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cjph.2022.12.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matlet.2019.02.134" TargetMode="External"/><Relationship Id="rId5" Type="http://schemas.openxmlformats.org/officeDocument/2006/relationships/hyperlink" Target="https://doi.org/10.1007/s10853-019-03719" TargetMode="External"/><Relationship Id="rId4" Type="http://schemas.openxmlformats.org/officeDocument/2006/relationships/hyperlink" Target="https://doi.org/10.1007/s10854-022-09295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4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komalvermadtu06@outlook.com</dc:creator>
  <cp:keywords/>
  <dc:description/>
  <cp:lastModifiedBy>Abhishek Tanwar</cp:lastModifiedBy>
  <cp:revision>2</cp:revision>
  <dcterms:created xsi:type="dcterms:W3CDTF">2023-03-05T12:19:00Z</dcterms:created>
  <dcterms:modified xsi:type="dcterms:W3CDTF">2023-03-05T12:19:00Z</dcterms:modified>
</cp:coreProperties>
</file>